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Доклад Министра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цифрового развития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Республики Дагестан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Ю.В. Гамзатова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Уважаемый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Ризван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Казимович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!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Уважаемые участники и приглашенные!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b/>
          <w:bCs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Разрешите поприветствовать всех на сегодняшнем заседании. 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 xml:space="preserve">Слайд 1. 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</w:rPr>
        <w:t>Титульный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   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Министерство осуществляет свою деятельность по нескольким ключевым направлениям: развитие инфраструктуры связи и обеспечение информационной безопасности, внедрение цифровых технологий и цифровое государственное управление, координация подготовки ИТ-кадров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 поддержка ИТ-отрасли. Остановлюсь на каждом из них подробнее.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</w:rPr>
        <w:t>Слайд 2. ЦЭ РФ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Министерством цифрового развития Республики Дагестан в рамках национальной программы «Цифровая экономика Российской Федерации» реализуются 4 региональных проекта «Информационн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ая инфраструктура», «Информационная безопасность», «Цифровые технологии», «Цифровое государственное управление». На 2023 год было предусмотрено достижение 9 показателей, которые выполнены в полном объеме.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 xml:space="preserve">Слайд 3. Развитие инфраструктуры связи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Работа, проводимая в рамках проекта «Информационная инфраструктура» главным образом направлена на увеличение охвата домохозяйств доступом к сети «Интернет», который фактически обеспечен на 88,2%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(613,7 тыс.)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при плановом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значении 76,9%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(595,1 тыс.)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рамк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ах проекта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«Устранение цифрового неравенства 2.0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», направленного на создание в малочисленных населенных пунктах сетей мобильной связи стандарта LTE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с населением от 100 до 500 жителей)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завершены работы в 71 населенном пункте.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Всего в прое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кт вкл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ючено 492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населенных пункта и предполагаются инвестиции в объеме 2,5 млрд. руб.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Совместно с ПАО «МегаФон» дополнительно смогли завести сотовую связь в 3 населенные пункта республики, воспользовавшись экономическими преференциями, предоставляемыми операторам связи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на плату за радиочастотный спектр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соответствии с решением Государственной комиссии по радиочастотам от 23.12.2022 № 22-65-09)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 взаимодействии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Минцифрой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России, МЧС Дагестана и операторами связи проведены командно-штабные тренировки по определению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готовности сетей связи к угрозе возникновения и возникновению чрезвычайных ситуаций природного и техногенного характера на территории Республики Дагестан, отработаны вводные в режиме ЧС муниципального, межмуниципального и регионального уровней. Все заплани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рованные мероприятия успешно реализованы. По итогам тренировок подготовлены рекомендации соответствующим органам власти и организациям об устранении выявленных недостатков</w:t>
      </w:r>
      <w: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тренировке приняли участие более 30 человек, были задействованы около 10 единиц техники, </w:t>
      </w:r>
      <w:r>
        <w:rPr>
          <w:rFonts w:ascii="Times New Roman" w:eastAsia="Times New Roman" w:hAnsi="Times New Roman" w:cs="Times New Roman"/>
          <w:color w:val="000000"/>
          <w:sz w:val="28"/>
        </w:rPr>
        <w:t>в том числе мобильное отделение почтовой связи, вертолет МИ-8 МЧС России и другая специализированная техника. Аварийно-восстановительные бригады трех операторов связ</w:t>
      </w:r>
      <w:r>
        <w:rPr>
          <w:rFonts w:ascii="Times New Roman" w:eastAsia="Times New Roman" w:hAnsi="Times New Roman" w:cs="Times New Roman"/>
          <w:color w:val="000000"/>
          <w:sz w:val="28"/>
        </w:rPr>
        <w:t>и продемонстрировали свой потенциал, технические и оперативные возможности по восстановлению сетей связи в условиях чрезвычайных ситуаций.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рамках программы «Информационное общество» осуществляется модернизация отделений почтовой связи, расположенных в 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льской местности,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отчетном году прошли реконструкцию 30 отделений почтовой связи, всего в программу включены 315 отделений.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4. Развитие инфраструктуры связи. Планы на 2024 год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текущем году в данном направлении планируется реализация следующих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мероприятий: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строительство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в 31 населенном пункте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объектов сотовой связи стандарта LTE в рамках проекта УЦН 2.0;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рамках предоставляемых экономических преференций на плату за радиочастотный спектр с операторами сотовой связи Мегафон и МТС планируется охва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тить еще 6 населенных пунктах сетями мобильной связи;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реконструкция 4 существующих отделений  и ввод в эксплуатацию 12 модульных отделений почтовой связи.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Помимо этого,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России возобновило финансирование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создания IT-инфраструктуры в 46 школах Респу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блики Дагестан.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рамках национального проекта «Информационная инфраструктура» на эти цели из федерального бюджета выделят 85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млн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рублей.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Широкополосным доступом будет покрыто 1972 учебных класса  в указанных образовательных учреждениях.</w:t>
      </w:r>
      <w:proofErr w:type="gramEnd"/>
    </w:p>
    <w:p w:rsidR="00095685" w:rsidRDefault="00095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685" w:rsidRDefault="000956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color w:val="A6A6A6" w:themeColor="background1" w:themeShade="A6"/>
          <w:highlight w:val="white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lastRenderedPageBreak/>
        <w:t>Слайд 5. Обеспечение информационной безопасности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166"/>
        </w:tabs>
        <w:spacing w:after="0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вопросах информационной безопасности сохраняется тенденция проведения компьютерных атак. Всего за прошлый год зафиксировано более 1440 случаев массированных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DDoS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-атак,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 также атак, направленных на вывод из строя информационных систем и ресурсов, расположенных в Республиканском центре обработки данных (далее – РЦОД). В этой связи для защиты информационных систем в РЦОД подключена дополнительная защита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DDoS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-атак, пред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оставляемая оператором связи, а также заблокированы все IP-адреса, с которых осуществлялись атаки. При обработке компьютерных атак в режиме реального времени обеспечивается взаимодействие с Национальным координационным центром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 компьютерным инцидентам (Н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КЦКИ) в государственной системе обнаружения, предупреждения и ликвидации последствий компьютерных атак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ГосСОПКА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).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Процессы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реализуется в образовательных организациях республики. По соглашениям с российскими разработчиками в школы передано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передано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более 10 тысяч лицензий на российскую операционную систему и офисное программное обеспечение.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Продолжается работа по повышению уровня защищенности государственных информационных систем. В отчетном году завершена аттестация региональной геоинформа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ционной системы Республики Дагестан.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На базе ГАУ РД «Центр информационных технологий» функционирует центр мониторинга компьютерных атак (SOC-центр). Специалисты ежедневно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мониторят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информацию о компьютерных атаках и инцидентах на информационную инфраструкт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уру республики с помощью специализированного программного обеспечения, позволяющий анализировать сетевой трафик.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567"/>
        <w:jc w:val="both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Совместно с Управлением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Федеральной службы по техническому и экспортному контролю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(ФСТЭК) России по Южному и Северо-Кавказскому федеральным окр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угам и Прокуратурой республики на регулярной основе проводится анализ исполнения положений Федерального закона № 187-ФЗ «О безопасности критической информационной инфраструктуры Российской Федерации».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ходе проводимого анализа в Республике Дагестан выявле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но 263 субъектов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ведении которых 106 значимых объектов КИИ и 1258 незначимых объектов КИИ.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Проведены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киберучения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 отработке действий сотрудниками при обнаружении компьютерных атак на информационную инфраструктуру.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киберучениях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приняли участие 10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профильных специалистов органов власти и подведомственных учреждений.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Для повышения общего уровня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киберграмотности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государственных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служащих более 800 сотрудников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приняли участие в государственной программе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кибергигиены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разработанной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России и АНО «Диалог Регионы».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 учетом значимости процессов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импортозамещения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, более 2,5 тысяч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сотрудников органов исполнительной власти переведены на работу в отечественном комплексе средств Автоматизированное рабочее место государственного служащего (КС АРМ ГС), разработанного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России.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53" w:lineRule="atLeast"/>
        <w:ind w:firstLine="708"/>
        <w:jc w:val="both"/>
        <w:rPr>
          <w:color w:val="A6A6A6" w:themeColor="background1" w:themeShade="A6"/>
          <w:highlight w:val="white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6. Обеспечение информационной безопасности. Пла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ны на 2024 год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текущем году мы планируем провести оценку защищенности ГИС, размещенных в РЦОД для выявления и устранения уязвимостей в системе защиты информации РЦОД.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Ведется разработка единого стандарта по управлению уязвимостями в программном обеспеч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ении в органах исполнительной власти Республики Дагестан. Результаты будут утверждены постановлением правительства РД.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Планируется завершить переход на обмен документами с отметкой «Для служебного пользования» в Единой системе межведомственного электронног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 документооборота Республики Дагестан. Данная мера позволит существенно сократить расходы на отправления корреспонденции с пометкой «ДСП», которую в настоящее время отправляют посредством спецсвязи и фельдсвязи, а также сократить сроки доставки документов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color w:val="A6A6A6" w:themeColor="background1" w:themeShade="A6"/>
          <w:highlight w:val="white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7. Государственные услуги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53" w:lineRule="atLeast"/>
        <w:ind w:firstLine="708"/>
        <w:jc w:val="both"/>
      </w:pPr>
      <w:r>
        <w:rPr>
          <w:rFonts w:ascii="Arial" w:eastAsia="Arial" w:hAnsi="Arial" w:cs="Arial"/>
          <w:color w:val="000000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 направлению дальнейшего развития государственных услуг обеспечена возможность получения 82 массовых социально значимых услуг (МСЗУ) посредством Портала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Дополнительно проведена работа по переводу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8 востребованных услуг, не входящий в региональный перечень МСЗУ. </w:t>
      </w: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Даглесхоз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4, Минтранс РД – 1, ОМСУ – 1,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РД – 1,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Минтуризм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РД – 1):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Утверждение актов лесопатологического обследования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Согласование проекта лесоразведения и внесения в него измене</w:t>
      </w:r>
      <w:r>
        <w:rPr>
          <w:rFonts w:ascii="Times New Roman" w:eastAsia="Times New Roman" w:hAnsi="Times New Roman" w:cs="Times New Roman"/>
          <w:color w:val="000000"/>
          <w:sz w:val="28"/>
        </w:rPr>
        <w:t>ний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Согласование проекта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лесовосстановления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внесения в него изменений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Проведение государственной экспертизы проектов освоения лесов, расположенных на землях лесного фонда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Государственная регистрация аттракционов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Выдача заключения о возможности быть опекуном (попечителем), усыновителем, приемным родителем, патронатным воспитателем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Меры социальной поддержки мобилизованным гражданам</w:t>
      </w:r>
    </w:p>
    <w:p w:rsidR="00807C15" w:rsidRDefault="00F66427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Аттестация гидов-экскурсоводов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Указанные услуги предоставляются 17 органами исполните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льной власти и всеми администрациями муниципальных районов и городских округов.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Регулярно проводится работа по популяризации получения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электронном виде через информационные каналы и социальные сети.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11"/>
        </w:tabs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Так,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доля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зарегистрированных граждан, использовавших Портал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2023 году возросла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43% по сравнению с 2022 годом.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целях достижения показателя «Уровень удовлетворенности качеством предоставления массовых социально значимых государственных и муниципа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льных услуг в электронном виде с использованием ЕПГУ» осуществляется контроль качества и своевременность предоставления электронных услуг. На 2023 г. показатель составил 4,19 балла при плановом значении 4 балла.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Всего за 2023 год подали через Портал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госусл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свыше 4,5 млн. заявлений на получение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Для сравнения в 2022 году было подано 2,5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млн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заявлений.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Кроме того, по данным Ситуационного центра электронного правительства РФ Республика Дагестан занимает 15 место в рейтинге по получению федеральных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слуг в электронном виде.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целях достижения показателей цифровой зрелости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Госуправлению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совместно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 и ОМСУ в 2023 году реализованы мероприятия по оказанию в электронном виде услуги «Запись в первый класс», благодаря чему по данной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 удалось достичь высокой доли обращений в электронной форме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порядка 55 %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Информация до родителей о возможности дистанционной записи детей в первый класс, доводилась через образовательные организации, а также СМИ и социальные сети. 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color w:val="A6A6A6" w:themeColor="background1" w:themeShade="A6"/>
          <w:highlight w:val="white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 xml:space="preserve">Слайд 8. </w:t>
      </w:r>
      <w:proofErr w:type="spellStart"/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Госуслуги</w:t>
      </w:r>
      <w:proofErr w:type="gramStart"/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.А</w:t>
      </w:r>
      <w:proofErr w:type="gramEnd"/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ИС</w:t>
      </w:r>
      <w:proofErr w:type="spellEnd"/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Охотуправление</w:t>
      </w:r>
      <w:proofErr w:type="spellEnd"/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»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Также,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 в 2023 году проведена доработка ведомственной системы Минприроды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Охотуправление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», обеспечена возможность оказания трех МСЗУ в электронном виде, возможность приема заявлений с Портала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суслуг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, осуществлена интег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рация с системой МФЦ.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Перечень услуг представлен на слайде.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– Выдача и аннулирование охотничьего билета единого федерального образца.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 xml:space="preserve">– Выдача разрешения на добычу охотничьих ресурсов.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– 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РФ.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Arial" w:eastAsia="Arial" w:hAnsi="Arial" w:cs="Arial"/>
          <w:color w:val="000000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 xml:space="preserve">Слайд 9. Государственные 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услуги. Планы на 2024 год. 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yellow"/>
        </w:rPr>
        <w:t xml:space="preserve">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По данному направлению в 2024 году планируется  перевод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электронную форму 18 услуг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прилагается в конце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посредством Визуального конструктора услуг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сферах социального обслуживания, промышленности, предпринимательства, культуры и туризма, а также организация мероприятий по популяризации получения услуг в электронной форм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е.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10. Цифровая трансформация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Индикатором эффективности цифровой трансформации региона является Цифровая зрелость отраслей экономики. В 2022 году показатель цифровой зрелости по Дагестану составлял – 53,6 процентов, при плановом значении – 46 процентов. В 2023 году удалось достичь знач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ения 62,4 %, при плановом значении 59,1 %. На 2024 год определено значение 63,7%.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Данный показатель является комплексным и включает в себя 5 отраслей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Итоги 2023 года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представлены на слайде.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</w:pPr>
    </w:p>
    <w:p w:rsidR="00807C15" w:rsidRDefault="00F6642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Государственно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>е управление – 87% (2022 год – 80,8%)</w:t>
      </w:r>
    </w:p>
    <w:p w:rsidR="00807C15" w:rsidRDefault="00F6642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8"/>
        </w:rPr>
        <w:t>– 84,1% (2022 год – 57,5%)</w:t>
      </w:r>
    </w:p>
    <w:p w:rsidR="00807C15" w:rsidRDefault="00F66427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Здравоохранение – 82,5% (2022 год – 56,8%)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Городское хозяйство и строительство – 40,5% (2022 год – 61,5%)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Общественный транспорт – 17,8% (2022 год – 10,8%)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всем отраслям, кроме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Городское хозяйство и строительство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 отмечается положительная динамика.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Понижение показателя по направлению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Городское хозяйство и строительство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обусловлено добавлением в 2023 году двух новых показателей: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«Доля коммунальных услуг, оплаченных онлайн» и «Доля услуг по управлению многоквартир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ным домом и содержанию общего имущества, оплаченных онлайн»</w:t>
      </w:r>
      <w: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которые связаны с использованием системы ГИС ЖКХ. </w:t>
      </w:r>
      <w:r>
        <w:t xml:space="preserve"> 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b/>
          <w:bCs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Arial" w:eastAsia="Arial" w:hAnsi="Arial" w:cs="Arial"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11. Цифровые сервисы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Внедрение цифровых сервисов в отраслях экономики, в том числе в сфере государственного управления позволяет повысить эффективность и оперативность взаимодействия.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ab/>
        <w:t>Все органы исполнительной власти и органы местного самоуправления Республики Дагестан исполь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зуют государственную информационную систему электронного документооборота.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Ежедневно в системе работают свыше 6 тысяч пользователей. За прошлый год количество зарегистрированных документов в системе составило свыше 1,1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млн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документов, из них с применением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ЭП более 55 %.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каналам межведомственного электронного документооборота (МЭДО) поступило 37 тысяч документов от федеральных и иных  ведомств субъектов Российской Федерации, направлено по каналам МЭДО –18 тысяч писем.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Система электронного документооборот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 аттестована по требованиям безопасности информации, а также получен аттестат соответствия безопасности информации.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Ведется работа по подключению сельских поселений и всех подведомственных учреждений к ГИС «СЭД РД».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рамках исполнения поручений данных Президентом Российской Федерации В.В. Путиным по вопросам реализации государственной программы «Национальная система пространственных данных» между ППК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Роскадастр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»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 заключено Соглашение об информационном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заимодействии по пе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редаче 160 слоев в Единую цифровую платформу НСПД.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color w:val="A6A6A6" w:themeColor="background1" w:themeShade="A6"/>
          <w:highlight w:val="white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12. Подготовка ИТ-кадров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61" w:lineRule="atLeast"/>
        <w:ind w:firstLine="708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Основной фактор успеха цифровой трансформации отраслей экономики – это высококвалифицированные кадры, подготовка которых начинается со школьной скамьи. В настоящее время активно проводится работа по таким направлениям как непрерывное повышение квалификации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учителей и преподавателей,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работа с учащимися, работа по увеличению КЦП и вовлечение студенческого сообщества в социально-экономическое развитие региона.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информирования целевой аудитории о востребованности в регионе ИТ-профессий, 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озможностях получения ИТ-образования в ВУЗах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ССУЗах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региона, а также перспективах последующей карьеры в ИТ-сфере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разработана и утверждена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протоколом заседания Правительственной комиссии Республики Дагестан по использованию информационных тех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нологий для формирования экосистемы цифровой экономики от 23 августа 2023 года №32-01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региональная программа по популяризации ИТ-специальностей.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При подготовке были учтены предложения органов власти, образовательных организаций и экспертов.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рамках вышен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азванной программы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проведено 86 профориентационных мероприятий, таких как «Урок цифры», «Цифровой диктант», «День цифры», «Цифровой ликбез»,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Республиканский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профориентационный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форум на тему «Искусственный интеллект в отраслях», в котором в онлайн формате п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риняли участие более 450 учащихся от 28 общеобразовательных организаций.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России в рамках федерального проекта «Развитие кадрового потенциала ИТ-отрасли» национальной программы «Цифровая экономика Российской Федерации» реализует проект «Код будущег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о», который предоставляет возможность прохождения дополнительного двухлетнего курса обучения современным языкам программирования.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проекте «Код будущего» за 2022-2023 гг. приняли участие более 9000 ребят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(9586).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Подготовка ИТ-специалистов в республике осуществляется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4 ВУЗах и 25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ССУЗах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 Динамика увеличения контрольных цифр приема отражена на слайде.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2021/2022 учебный год контрольные цифры приема по программам ИТ-направленности были установлены в количестве 19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81 мест.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На 2022/2023 учебный год - в количестве 2041 мест.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На 2023/2024 учебный год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увеличены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 составили 2394 мест. Объем КЦП в 2023 году по сравнению с 2021 годом увеличился на 21%.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13. Подготовка ИТ-кадров. Планы на 2024 год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январе текущего года под руководством Председателя Правительства Республики Дагестан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А.М. проведена стратегическая сессия по подготовке ИТ-кадров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итогам которой определен ряд задач и решений, направленных на подготовку квалифицированны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х кадров в тесном сотрудничестве вузов с представителями ИТ-отрасли, это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 и ИТ-компании.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Дагестанским государственным университетом планируется расширение сотрудничества в рамках созданной базовой кафедры цифровой экономики и экономики данны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внедрения в образовательный процесс практико-ориентированных курсов.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 подписано соглашение в целях создания в Дагестанском государственном медицинском университете на базе Института электронного медицинского образования цифровой кафедры.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акие кафедры дают возможность в течение года получить в дополнение к основной отраслевой специальности вторую специализацию, связанную с ИТ.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Также идет подготовка к открытию нового направления «Медицинская кибернетика».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поручению Председателя Правительс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тва РД А.М.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Абдулмуслимова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данному в ходе визита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РД в декабре 2023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года, ведется работа по созданию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центра компетенций на базе нашего подведомственного учреждения ГАУ РД «МФЦ в РД».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студентов ИТ-направлений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2024 году планируется проведен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ие регионального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хакатона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, ИТ-конференции, а также совместно с ДГУ разрабатывается концепция проведения Студенческого цифрового форума прикаспийских государств.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16 июня 2023 года в рамках Петербургского международного экономического форума Глава Республики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Дагестан Сергей Меликов и председатель правления Сбербанка России Герман Греф подписали соглашение о сотрудничестве в сфере подготовки ИТ-специалистов и открытии в Дагестане кампуса «Школы 21». Школа будет дополнять основное образование для студентов прог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раммистов средних специальных и высших учебных заведений,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также станет местом переподготовки для тех, кто пожелает стать специалистом 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сфере. На сегодняшний день Администрацией г. Махачкалы определен участок и ведется проектирование кампуса.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14</w:t>
      </w: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. Каспийский цифровой форум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Кроме того, проведены мероприятия, направленные на установление диалога между государством, бизнесом и научным сообществом. В 2023 году проведена Цифровая прокачка по направлениям Государственное управление и Транспорт; первый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еждународный Каспийский цифровой форум, центральной темой которого было создание цифровой инфраструктуры реализации проекта МТК «Север-Юг»</w:t>
      </w:r>
      <w:r>
        <w:rPr>
          <w:b/>
          <w:bCs/>
        </w:rP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 рамках форума подписаны соглашения, предусматривающие развитие информационной инфраструктуры, информатизации и инф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ормационных технологий в республике, такие как создание крупного центра обработки данных, сотрудничество по вопросам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трансграничного взаимодействия бизнеса стран прикаспийского региона.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 между Правительством Республики Дагестан, обществом с ограниченной ответственностью «Кей Поинт групп» и обществом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Неорос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 целью взаимодействия и сотрудничества при реализации на территории Республики Дагестан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нвестиционного проекта по созданию коммерческого центра обработки данных;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соглашение между Правительством Республики Дагестан и акционерным обществом «Производственная фирма «СКБ Контур» с целью сотрудничества сторон в сфере информатизации и развития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ормационных технологий на территории Республики Дагестан,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трансграничного взаимодействия бизнеса стран прикаспийского региона;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соглашение между Министерством цифрового развития Республики Дагестан и автономной некоммерческой организацией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ействия развитию цифровой экономики «Лаборатория Цифровой Трансформации» с целью информационного обмена и совместной деятельности.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Проведение международного Каспийского цифрового форума также запланировано на ноябрь 2024 года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Форум включен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ежегодный план-график значимых мероприятий на текущий год и к проведению ежегодно. 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  <w:rPr>
          <w:color w:val="A6A6A6" w:themeColor="background1" w:themeShade="A6"/>
          <w:highlight w:val="white"/>
        </w:rPr>
      </w:pPr>
      <w:r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highlight w:val="white"/>
        </w:rPr>
        <w:t>Слайд 15. Меры поддержки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республике проводится работа, направленная на поддержку IT-отрасли,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том числе в рамках Указа Президента Российской Федерации В.В. Путина от 2 марта 2022 года № 83 «О мерах по обеспечению ускоренного развития отрасли информационных технологий в Российской Федерации».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 ранее действующим мерам поддержки добавились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сниженная арендная плата для объектов связи и ЦОД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Гранты Главы РД в области информационно-коммуникационных технологий. </w:t>
      </w:r>
    </w:p>
    <w:p w:rsidR="00807C15" w:rsidRDefault="00807C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sz w:val="24"/>
          <w:szCs w:val="24"/>
        </w:rPr>
      </w:pP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Инвестиционный вычет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республике действует механизм инвестиционного налогового вычета по налогу на прибыль, предусматривающего его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аспространение на компании, осуществляющие деятельность в сфере телекоммуникаций по коду 61 ОКВЭД «Деятельность в сфере коммуникаций», в соответствии с Законом Республики Дагестан от 29.05.2020 г. № 31. Размер инвестиционного налогового вычета текущего 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 (отчетного) периода составляет 90 процентов от суммы расходов.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Упрощенная система налогообложения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Предусмотрено установление пониженных налоговых ставок по упрощенной системе налогообложения для всех категорий налогоплательщиков, в том числе заняты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 сфере ИТ-технологий. При этом по упрощенной системе налогообложения для налогоплательщиков, выбравших в качестве объекта налогообложения «доходы», предусмотрено снижение ставки налога до 1 процента, по объекту налогообложения «доходы, уменьшенные на 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личину расходов» до 5 процентов. Законом Республики Дагестан от 6 мая 2009 года № 26 «О ставке налога при применении упрощенной системы налогообложения»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Клиентоцентричность</w:t>
      </w:r>
      <w:proofErr w:type="spellEnd"/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 рамках реализации Федерального проекта «Государство для людей» и внедрения прин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ципов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клиентоцентричности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 в Республике Дагестан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создан проектный офис в ГАУ МФЦ по РД, проведен анализ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государственных услуг. В текущем году ведется работа по оптимизации 25 из 126 услуг, требующих доработки. 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Госпаблики</w:t>
      </w:r>
      <w:proofErr w:type="spellEnd"/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10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В целях размещения информации о своей деятельности в сети «Интернет» государственные органы и подведомственные им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lastRenderedPageBreak/>
        <w:t xml:space="preserve">организации обязаны создавать и вести официальные страницы в социальных сетях (далее 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госпаблики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).</w:t>
      </w:r>
      <w:r>
        <w:rPr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На текущий момент создано и ведется 3561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оспаблик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Платформа обратной связи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  <w:rPr>
          <w:b/>
          <w:bCs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 Республике Дагестан внедрена Платформа обратной связи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)- целью которой является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быстрая доставка сообщений от жителей, обязательный контроль эффективности решений, а также выявление истинных причин и проблем гражд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ан.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22" w:lineRule="atLeast"/>
        <w:ind w:firstLine="709"/>
        <w:jc w:val="both"/>
        <w:rPr>
          <w:b/>
          <w:bCs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Создано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3 987 личных кабинетов организаций и 4 846 учетных записей ответственных сотрудников.</w:t>
      </w:r>
      <w:r>
        <w:rPr>
          <w:b/>
          <w:bCs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За 2023 год в систему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ПОС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 поступило более 15 тыс. обращений.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 2024 года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 к обращениям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поступающим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ПОС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 xml:space="preserve"> предъявляются требования в соответствии с Федеральным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highlight w:val="white"/>
        </w:rPr>
        <w:t>законом №59-ФЗ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53" w:lineRule="atLeast"/>
        <w:ind w:firstLine="709"/>
        <w:jc w:val="both"/>
      </w:pPr>
      <w:r>
        <w:rPr>
          <w:rFonts w:ascii="Arial" w:eastAsia="Arial" w:hAnsi="Arial" w:cs="Arial"/>
          <w:color w:val="000000"/>
        </w:rPr>
        <w:t> </w:t>
      </w:r>
    </w:p>
    <w:p w:rsidR="00807C15" w:rsidRDefault="00F664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Ризван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Казимович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, коллеги, участники и гости коллегии, хочу вас заверить, что проекты, реализуемые нашим министерством, будут исполнены в полном объеме и с нужным качеством. Доклад окончен. Спасибо за внимание!</w:t>
      </w:r>
    </w:p>
    <w:p w:rsidR="00807C15" w:rsidRDefault="00807C15"/>
    <w:p w:rsidR="00807C15" w:rsidRDefault="00807C15"/>
    <w:p w:rsidR="00807C15" w:rsidRDefault="00F66427">
      <w:r>
        <w:br w:type="page" w:clear="all"/>
      </w:r>
    </w:p>
    <w:p w:rsidR="00807C15" w:rsidRDefault="00F66427">
      <w:pPr>
        <w:jc w:val="right"/>
      </w:pPr>
      <w:r>
        <w:lastRenderedPageBreak/>
        <w:t>Приложение</w:t>
      </w:r>
    </w:p>
    <w:p w:rsidR="00807C15" w:rsidRDefault="00807C15">
      <w:pPr>
        <w:jc w:val="right"/>
      </w:pP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Единовременная денежная выплата семьям при рождении пятого и последующих детей по Указу Президента Республики Дагестан от 31 мая 2007 года № 71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Предоставление автотранспорта (микроавтобуса) малоимущим многодетным семьям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Единовременная денежная выплата на д</w:t>
      </w:r>
      <w:r>
        <w:t>етей, поступающих в первый класс, из малоимущих многодетных семей, проживающих в Республике Дагестан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Выдача справки о признании семьи и одиноко проживающего гражданина малоимущими для получения ими государственной социальной помощи и иных мер социальной по</w:t>
      </w:r>
      <w:r>
        <w:t>ддержки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Ежемесячная денежная выплата жертвам политических репрессий, труженикам тыла и ветеранам труда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Компенсация расходов на уплату взноса на капитальный ремонт общего имущества в многоквартирных домах, расположенных на территории Республики Дагестан, от</w:t>
      </w:r>
      <w:r>
        <w:t>дельным категориям граждан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Единовременной денежной выплаты на оплату расходов, связанных с приобретением, установкой внутридомового газового оборудования и проведением газопровода внутри земельного участка, отдельным категориям граждан, проживающих в Респу</w:t>
      </w:r>
      <w:r>
        <w:t>блике Дагестан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 xml:space="preserve">Предоставление субсидии отдельным категориям граждан, проживающих в Республике Дагестан, на покупку и установку газоиспользующего </w:t>
      </w:r>
      <w:proofErr w:type="gramStart"/>
      <w:r>
        <w:t>оборудования</w:t>
      </w:r>
      <w:proofErr w:type="gramEnd"/>
      <w:r>
        <w:t xml:space="preserve"> и проведение работ внутри границ их земельных участков в рамках реализации мероприятий по осуществ</w:t>
      </w:r>
      <w:r>
        <w:t xml:space="preserve">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>
        <w:t>догазификации</w:t>
      </w:r>
      <w:proofErr w:type="spellEnd"/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Согласование установки информационных надписей и обозначений на объектах культурного нас</w:t>
      </w:r>
      <w:r>
        <w:t>ледия (за исключением отдельных объектов культурного наследия, перечень которых устанавливается Правительством Российской Федерации).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Государственная экспертиза проектов освоения лесов, расположенных на землях лесного фонда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Аттестация экскурсоводов (гидов)</w:t>
      </w:r>
      <w:r>
        <w:t>, гидов-переводчиков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Предоставление субсидий для субсидирования части затрат субъектов малого и среднего предпринимательства, связанных с уплатой процентов по кредитам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Предоставление субсидий субъектам малого и среднего предпринимательства в целях возмещен</w:t>
      </w:r>
      <w:r>
        <w:t xml:space="preserve">ия части затрат, связанных с участием в </w:t>
      </w:r>
      <w:proofErr w:type="spellStart"/>
      <w:r>
        <w:t>выставочно</w:t>
      </w:r>
      <w:proofErr w:type="spellEnd"/>
      <w:r>
        <w:t>-ярмарочных мероприятиях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Оценка качества оказываемых социально ориентированными некоммерческими организациями общественно полезных услуг по установленным критериям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 xml:space="preserve">Предоставление субсидий юридическим лицам </w:t>
      </w:r>
      <w:r>
        <w:t>на компенсацию части затрат, связанных с приобретением машин и оборудования для реализации инвестиционных проектов по модернизации производства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Предоставление субсидий предприятиям легкой промышленности на возмещение части затрат на продвижение отечественн</w:t>
      </w:r>
      <w:r>
        <w:t xml:space="preserve">ой продукции легкой промышленности на электронных торговых площадках и (или) на оплату услуг по созданию </w:t>
      </w:r>
      <w:proofErr w:type="gramStart"/>
      <w:r>
        <w:t>собственного</w:t>
      </w:r>
      <w:proofErr w:type="gramEnd"/>
      <w:r>
        <w:t xml:space="preserve"> интернет-магазина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Предоставление субсидий юридическим лицам на компенсацию части затрат, связанных с разработкой и внедрением инновационных технологий, научно-исследовательских работ и опытно-конструкторских разработок, для реализации инвестиционных проектов</w:t>
      </w:r>
    </w:p>
    <w:p w:rsidR="00807C15" w:rsidRDefault="00F66427">
      <w:pPr>
        <w:pStyle w:val="af9"/>
        <w:numPr>
          <w:ilvl w:val="0"/>
          <w:numId w:val="7"/>
        </w:numPr>
        <w:spacing w:line="240" w:lineRule="auto"/>
      </w:pPr>
      <w:r>
        <w:t>Возмещение част</w:t>
      </w:r>
      <w:r>
        <w:t>и затрат промышленных предприятий, связанных с приобретением нового оборудования</w:t>
      </w:r>
    </w:p>
    <w:sectPr w:rsidR="00807C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27" w:rsidRDefault="00F66427">
      <w:pPr>
        <w:spacing w:after="0" w:line="240" w:lineRule="auto"/>
      </w:pPr>
      <w:r>
        <w:separator/>
      </w:r>
    </w:p>
  </w:endnote>
  <w:endnote w:type="continuationSeparator" w:id="0">
    <w:p w:rsidR="00F66427" w:rsidRDefault="00F6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27" w:rsidRDefault="00F66427">
      <w:pPr>
        <w:spacing w:after="0" w:line="240" w:lineRule="auto"/>
      </w:pPr>
      <w:r>
        <w:separator/>
      </w:r>
    </w:p>
  </w:footnote>
  <w:footnote w:type="continuationSeparator" w:id="0">
    <w:p w:rsidR="00F66427" w:rsidRDefault="00F6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2B12"/>
    <w:multiLevelType w:val="hybridMultilevel"/>
    <w:tmpl w:val="F95ABDD4"/>
    <w:lvl w:ilvl="0" w:tplc="279C0622">
      <w:start w:val="1"/>
      <w:numFmt w:val="decimal"/>
      <w:lvlText w:val="%1."/>
      <w:lvlJc w:val="left"/>
      <w:pPr>
        <w:ind w:left="1414" w:hanging="705"/>
      </w:pPr>
    </w:lvl>
    <w:lvl w:ilvl="1" w:tplc="AA506804">
      <w:start w:val="1"/>
      <w:numFmt w:val="lowerLetter"/>
      <w:lvlText w:val="%2."/>
      <w:lvlJc w:val="left"/>
      <w:pPr>
        <w:ind w:left="1789" w:hanging="360"/>
      </w:pPr>
    </w:lvl>
    <w:lvl w:ilvl="2" w:tplc="DF6836C4">
      <w:start w:val="1"/>
      <w:numFmt w:val="lowerRoman"/>
      <w:lvlText w:val="%3."/>
      <w:lvlJc w:val="right"/>
      <w:pPr>
        <w:ind w:left="2509" w:hanging="180"/>
      </w:pPr>
    </w:lvl>
    <w:lvl w:ilvl="3" w:tplc="8D36D5CC">
      <w:start w:val="1"/>
      <w:numFmt w:val="decimal"/>
      <w:lvlText w:val="%4."/>
      <w:lvlJc w:val="left"/>
      <w:pPr>
        <w:ind w:left="3229" w:hanging="360"/>
      </w:pPr>
    </w:lvl>
    <w:lvl w:ilvl="4" w:tplc="A266CB3A">
      <w:start w:val="1"/>
      <w:numFmt w:val="lowerLetter"/>
      <w:lvlText w:val="%5."/>
      <w:lvlJc w:val="left"/>
      <w:pPr>
        <w:ind w:left="3949" w:hanging="360"/>
      </w:pPr>
    </w:lvl>
    <w:lvl w:ilvl="5" w:tplc="2558E9D0">
      <w:start w:val="1"/>
      <w:numFmt w:val="lowerRoman"/>
      <w:lvlText w:val="%6."/>
      <w:lvlJc w:val="right"/>
      <w:pPr>
        <w:ind w:left="4669" w:hanging="180"/>
      </w:pPr>
    </w:lvl>
    <w:lvl w:ilvl="6" w:tplc="91DAF37A">
      <w:start w:val="1"/>
      <w:numFmt w:val="decimal"/>
      <w:lvlText w:val="%7."/>
      <w:lvlJc w:val="left"/>
      <w:pPr>
        <w:ind w:left="5389" w:hanging="360"/>
      </w:pPr>
    </w:lvl>
    <w:lvl w:ilvl="7" w:tplc="1C1811AA">
      <w:start w:val="1"/>
      <w:numFmt w:val="lowerLetter"/>
      <w:lvlText w:val="%8."/>
      <w:lvlJc w:val="left"/>
      <w:pPr>
        <w:ind w:left="6109" w:hanging="360"/>
      </w:pPr>
    </w:lvl>
    <w:lvl w:ilvl="8" w:tplc="05B66AA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DE26B6"/>
    <w:multiLevelType w:val="hybridMultilevel"/>
    <w:tmpl w:val="81668832"/>
    <w:lvl w:ilvl="0" w:tplc="5448A44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E8644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11CF21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E9A30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E663C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DFC5C6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E2E3C2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15885C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9924C3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2BCF5E56"/>
    <w:multiLevelType w:val="hybridMultilevel"/>
    <w:tmpl w:val="AD366A1C"/>
    <w:lvl w:ilvl="0" w:tplc="2F7CFA8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9B44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FC0E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38B4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2C85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30403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542C1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A418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704B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43752D4F"/>
    <w:multiLevelType w:val="hybridMultilevel"/>
    <w:tmpl w:val="CC56AA1C"/>
    <w:lvl w:ilvl="0" w:tplc="6B7AB72E">
      <w:start w:val="1"/>
      <w:numFmt w:val="decimal"/>
      <w:lvlText w:val="%1."/>
      <w:lvlJc w:val="left"/>
      <w:pPr>
        <w:ind w:left="720" w:hanging="360"/>
      </w:pPr>
    </w:lvl>
    <w:lvl w:ilvl="1" w:tplc="D414BFC2">
      <w:start w:val="1"/>
      <w:numFmt w:val="lowerLetter"/>
      <w:lvlText w:val="%2."/>
      <w:lvlJc w:val="left"/>
      <w:pPr>
        <w:ind w:left="1440" w:hanging="360"/>
      </w:pPr>
    </w:lvl>
    <w:lvl w:ilvl="2" w:tplc="211A4A3A">
      <w:start w:val="1"/>
      <w:numFmt w:val="lowerRoman"/>
      <w:lvlText w:val="%3."/>
      <w:lvlJc w:val="right"/>
      <w:pPr>
        <w:ind w:left="2160" w:hanging="180"/>
      </w:pPr>
    </w:lvl>
    <w:lvl w:ilvl="3" w:tplc="26F87320">
      <w:start w:val="1"/>
      <w:numFmt w:val="decimal"/>
      <w:lvlText w:val="%4."/>
      <w:lvlJc w:val="left"/>
      <w:pPr>
        <w:ind w:left="2880" w:hanging="360"/>
      </w:pPr>
    </w:lvl>
    <w:lvl w:ilvl="4" w:tplc="332A2F9E">
      <w:start w:val="1"/>
      <w:numFmt w:val="lowerLetter"/>
      <w:lvlText w:val="%5."/>
      <w:lvlJc w:val="left"/>
      <w:pPr>
        <w:ind w:left="3600" w:hanging="360"/>
      </w:pPr>
    </w:lvl>
    <w:lvl w:ilvl="5" w:tplc="4E4C3D4C">
      <w:start w:val="1"/>
      <w:numFmt w:val="lowerRoman"/>
      <w:lvlText w:val="%6."/>
      <w:lvlJc w:val="right"/>
      <w:pPr>
        <w:ind w:left="4320" w:hanging="180"/>
      </w:pPr>
    </w:lvl>
    <w:lvl w:ilvl="6" w:tplc="D66EE7B6">
      <w:start w:val="1"/>
      <w:numFmt w:val="decimal"/>
      <w:lvlText w:val="%7."/>
      <w:lvlJc w:val="left"/>
      <w:pPr>
        <w:ind w:left="5040" w:hanging="360"/>
      </w:pPr>
    </w:lvl>
    <w:lvl w:ilvl="7" w:tplc="D1649AAA">
      <w:start w:val="1"/>
      <w:numFmt w:val="lowerLetter"/>
      <w:lvlText w:val="%8."/>
      <w:lvlJc w:val="left"/>
      <w:pPr>
        <w:ind w:left="5760" w:hanging="360"/>
      </w:pPr>
    </w:lvl>
    <w:lvl w:ilvl="8" w:tplc="F384D8C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E6B65"/>
    <w:multiLevelType w:val="hybridMultilevel"/>
    <w:tmpl w:val="B2BEBE3C"/>
    <w:lvl w:ilvl="0" w:tplc="801C57AA">
      <w:start w:val="1"/>
      <w:numFmt w:val="decimal"/>
      <w:lvlText w:val="%1."/>
      <w:lvlJc w:val="left"/>
      <w:pPr>
        <w:ind w:left="1414" w:hanging="705"/>
      </w:pPr>
    </w:lvl>
    <w:lvl w:ilvl="1" w:tplc="6E505534">
      <w:start w:val="1"/>
      <w:numFmt w:val="lowerLetter"/>
      <w:lvlText w:val="%2."/>
      <w:lvlJc w:val="left"/>
      <w:pPr>
        <w:ind w:left="1789" w:hanging="360"/>
      </w:pPr>
    </w:lvl>
    <w:lvl w:ilvl="2" w:tplc="16309F4E">
      <w:start w:val="1"/>
      <w:numFmt w:val="lowerRoman"/>
      <w:lvlText w:val="%3."/>
      <w:lvlJc w:val="right"/>
      <w:pPr>
        <w:ind w:left="2509" w:hanging="180"/>
      </w:pPr>
    </w:lvl>
    <w:lvl w:ilvl="3" w:tplc="0E36A3E4">
      <w:start w:val="1"/>
      <w:numFmt w:val="decimal"/>
      <w:lvlText w:val="%4."/>
      <w:lvlJc w:val="left"/>
      <w:pPr>
        <w:ind w:left="3229" w:hanging="360"/>
      </w:pPr>
    </w:lvl>
    <w:lvl w:ilvl="4" w:tplc="CC241FBA">
      <w:start w:val="1"/>
      <w:numFmt w:val="lowerLetter"/>
      <w:lvlText w:val="%5."/>
      <w:lvlJc w:val="left"/>
      <w:pPr>
        <w:ind w:left="3949" w:hanging="360"/>
      </w:pPr>
    </w:lvl>
    <w:lvl w:ilvl="5" w:tplc="70666D46">
      <w:start w:val="1"/>
      <w:numFmt w:val="lowerRoman"/>
      <w:lvlText w:val="%6."/>
      <w:lvlJc w:val="right"/>
      <w:pPr>
        <w:ind w:left="4669" w:hanging="180"/>
      </w:pPr>
    </w:lvl>
    <w:lvl w:ilvl="6" w:tplc="98AEE20C">
      <w:start w:val="1"/>
      <w:numFmt w:val="decimal"/>
      <w:lvlText w:val="%7."/>
      <w:lvlJc w:val="left"/>
      <w:pPr>
        <w:ind w:left="5389" w:hanging="360"/>
      </w:pPr>
    </w:lvl>
    <w:lvl w:ilvl="7" w:tplc="923EE5DA">
      <w:start w:val="1"/>
      <w:numFmt w:val="lowerLetter"/>
      <w:lvlText w:val="%8."/>
      <w:lvlJc w:val="left"/>
      <w:pPr>
        <w:ind w:left="6109" w:hanging="360"/>
      </w:pPr>
    </w:lvl>
    <w:lvl w:ilvl="8" w:tplc="8B90B7B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CD3F5D"/>
    <w:multiLevelType w:val="hybridMultilevel"/>
    <w:tmpl w:val="391C5AE0"/>
    <w:lvl w:ilvl="0" w:tplc="D56298F6">
      <w:start w:val="1"/>
      <w:numFmt w:val="decimal"/>
      <w:lvlText w:val="%1."/>
      <w:lvlJc w:val="left"/>
      <w:pPr>
        <w:ind w:left="720" w:hanging="360"/>
      </w:pPr>
    </w:lvl>
    <w:lvl w:ilvl="1" w:tplc="8730C060">
      <w:start w:val="1"/>
      <w:numFmt w:val="lowerLetter"/>
      <w:lvlText w:val="%2."/>
      <w:lvlJc w:val="left"/>
      <w:pPr>
        <w:ind w:left="1440" w:hanging="360"/>
      </w:pPr>
    </w:lvl>
    <w:lvl w:ilvl="2" w:tplc="DD964940">
      <w:start w:val="1"/>
      <w:numFmt w:val="lowerRoman"/>
      <w:lvlText w:val="%3."/>
      <w:lvlJc w:val="right"/>
      <w:pPr>
        <w:ind w:left="2160" w:hanging="360"/>
      </w:pPr>
    </w:lvl>
    <w:lvl w:ilvl="3" w:tplc="978090DE">
      <w:start w:val="1"/>
      <w:numFmt w:val="decimal"/>
      <w:lvlText w:val="%4."/>
      <w:lvlJc w:val="left"/>
      <w:pPr>
        <w:ind w:left="2880" w:hanging="360"/>
      </w:pPr>
    </w:lvl>
    <w:lvl w:ilvl="4" w:tplc="044C51FC">
      <w:start w:val="1"/>
      <w:numFmt w:val="lowerLetter"/>
      <w:lvlText w:val="%5."/>
      <w:lvlJc w:val="left"/>
      <w:pPr>
        <w:ind w:left="3600" w:hanging="360"/>
      </w:pPr>
    </w:lvl>
    <w:lvl w:ilvl="5" w:tplc="AB58BC42">
      <w:start w:val="1"/>
      <w:numFmt w:val="lowerRoman"/>
      <w:lvlText w:val="%6."/>
      <w:lvlJc w:val="right"/>
      <w:pPr>
        <w:ind w:left="4320" w:hanging="360"/>
      </w:pPr>
    </w:lvl>
    <w:lvl w:ilvl="6" w:tplc="B56EB7DC">
      <w:start w:val="1"/>
      <w:numFmt w:val="decimal"/>
      <w:lvlText w:val="%7."/>
      <w:lvlJc w:val="left"/>
      <w:pPr>
        <w:ind w:left="5040" w:hanging="360"/>
      </w:pPr>
    </w:lvl>
    <w:lvl w:ilvl="7" w:tplc="095C7116">
      <w:start w:val="1"/>
      <w:numFmt w:val="lowerLetter"/>
      <w:lvlText w:val="%8."/>
      <w:lvlJc w:val="left"/>
      <w:pPr>
        <w:ind w:left="5760" w:hanging="360"/>
      </w:pPr>
    </w:lvl>
    <w:lvl w:ilvl="8" w:tplc="EDFECAD4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5AE12C47"/>
    <w:multiLevelType w:val="hybridMultilevel"/>
    <w:tmpl w:val="BE0E9080"/>
    <w:lvl w:ilvl="0" w:tplc="1EC4CF2A">
      <w:start w:val="1"/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</w:rPr>
    </w:lvl>
    <w:lvl w:ilvl="1" w:tplc="FB64D8CE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</w:rPr>
    </w:lvl>
    <w:lvl w:ilvl="2" w:tplc="0DAA9982">
      <w:start w:val="1"/>
      <w:numFmt w:val="bullet"/>
      <w:lvlText w:val=""/>
      <w:lvlJc w:val="left"/>
      <w:pPr>
        <w:ind w:left="2868" w:hanging="360"/>
      </w:pPr>
      <w:rPr>
        <w:rFonts w:ascii="Wingdings" w:eastAsia="Wingdings" w:hAnsi="Wingdings" w:cs="Wingdings" w:hint="default"/>
      </w:rPr>
    </w:lvl>
    <w:lvl w:ilvl="3" w:tplc="A9966A86">
      <w:start w:val="1"/>
      <w:numFmt w:val="bullet"/>
      <w:lvlText w:val=""/>
      <w:lvlJc w:val="left"/>
      <w:pPr>
        <w:ind w:left="3588" w:hanging="360"/>
      </w:pPr>
      <w:rPr>
        <w:rFonts w:ascii="Symbol" w:eastAsia="Symbol" w:hAnsi="Symbol" w:cs="Symbol" w:hint="default"/>
      </w:rPr>
    </w:lvl>
    <w:lvl w:ilvl="4" w:tplc="1DDAA35E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 w:hint="default"/>
      </w:rPr>
    </w:lvl>
    <w:lvl w:ilvl="5" w:tplc="FA32FC80">
      <w:start w:val="1"/>
      <w:numFmt w:val="bullet"/>
      <w:lvlText w:val=""/>
      <w:lvlJc w:val="left"/>
      <w:pPr>
        <w:ind w:left="5028" w:hanging="360"/>
      </w:pPr>
      <w:rPr>
        <w:rFonts w:ascii="Wingdings" w:eastAsia="Wingdings" w:hAnsi="Wingdings" w:cs="Wingdings" w:hint="default"/>
      </w:rPr>
    </w:lvl>
    <w:lvl w:ilvl="6" w:tplc="5448C9E2">
      <w:start w:val="1"/>
      <w:numFmt w:val="bullet"/>
      <w:lvlText w:val=""/>
      <w:lvlJc w:val="left"/>
      <w:pPr>
        <w:ind w:left="5748" w:hanging="360"/>
      </w:pPr>
      <w:rPr>
        <w:rFonts w:ascii="Symbol" w:eastAsia="Symbol" w:hAnsi="Symbol" w:cs="Symbol" w:hint="default"/>
      </w:rPr>
    </w:lvl>
    <w:lvl w:ilvl="7" w:tplc="7EAAC358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 w:hint="default"/>
      </w:rPr>
    </w:lvl>
    <w:lvl w:ilvl="8" w:tplc="C2D2A976">
      <w:start w:val="1"/>
      <w:numFmt w:val="bullet"/>
      <w:lvlText w:val=""/>
      <w:lvlJc w:val="left"/>
      <w:pPr>
        <w:ind w:left="7188" w:hanging="360"/>
      </w:pPr>
      <w:rPr>
        <w:rFonts w:ascii="Wingdings" w:eastAsia="Wingdings" w:hAnsi="Wingdings" w:cs="Wingdings" w:hint="default"/>
      </w:rPr>
    </w:lvl>
  </w:abstractNum>
  <w:abstractNum w:abstractNumId="7">
    <w:nsid w:val="675D224D"/>
    <w:multiLevelType w:val="hybridMultilevel"/>
    <w:tmpl w:val="3F1809A6"/>
    <w:lvl w:ilvl="0" w:tplc="8B5CAFF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3901C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C885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722D7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EC22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80563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0AA8D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34FE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4CFC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15"/>
    <w:rsid w:val="00095685"/>
    <w:rsid w:val="00807C15"/>
    <w:rsid w:val="00F6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3832</Words>
  <Characters>21846</Characters>
  <Application>Microsoft Office Word</Application>
  <DocSecurity>0</DocSecurity>
  <Lines>182</Lines>
  <Paragraphs>51</Paragraphs>
  <ScaleCrop>false</ScaleCrop>
  <Company>Министерство Экономики РД</Company>
  <LinksUpToDate>false</LinksUpToDate>
  <CharactersWithSpaces>25627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Hava</cp:lastModifiedBy>
  <cp:revision>8</cp:revision>
  <dcterms:created xsi:type="dcterms:W3CDTF">2024-02-20T10:29:00Z</dcterms:created>
  <dcterms:modified xsi:type="dcterms:W3CDTF">2024-02-20T10:30:00Z</dcterms:modified>
</cp:coreProperties>
</file>