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07BBF" w14:textId="1544C872" w:rsidR="008F5126" w:rsidRPr="008F5126" w:rsidRDefault="008F5126" w:rsidP="008F51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126">
        <w:rPr>
          <w:rFonts w:ascii="Times New Roman" w:hAnsi="Times New Roman" w:cs="Times New Roman"/>
          <w:b/>
          <w:bCs/>
          <w:sz w:val="28"/>
          <w:szCs w:val="28"/>
        </w:rPr>
        <w:t>Требования и инструкция и по установке виджета «Общественного голосование» на сайтах ведомств и ОГВ</w:t>
      </w:r>
    </w:p>
    <w:p w14:paraId="0ACA70D2" w14:textId="1356CCA2" w:rsidR="008F5126" w:rsidRDefault="008F5126" w:rsidP="008F5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8961" w14:textId="77777777" w:rsid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89F9D8" w14:textId="3E3CA973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Раздел виджеты предоставляет уполномоченному возможность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получить коды виджетов Общественного Голосования для встраивания их в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сайты ОГВ. Коды виджетов создаются автоматически для уполномоченного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в зависимости от его уровня доступа и других параметров, например таких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как регион или муниципалитет, для которых будут показываться данные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виджеты на сайтах ОГВ.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Чтобы перейти в раздел управления виджетами нажмите в меню слева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по соответствующему названию, откроется страница управления виджетами,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как представлено на Рисунок 220.</w:t>
      </w:r>
    </w:p>
    <w:p w14:paraId="2D4C11D1" w14:textId="28890BF5" w:rsidR="00E6290C" w:rsidRPr="00E6290C" w:rsidRDefault="00E6290C" w:rsidP="00E62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95D5DD" wp14:editId="1F4155E6">
            <wp:extent cx="5934075" cy="3552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27D45" w14:textId="503E710F" w:rsidR="00E6290C" w:rsidRPr="00E6290C" w:rsidRDefault="00E6290C" w:rsidP="00E6290C">
      <w:pPr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290C">
        <w:rPr>
          <w:rFonts w:ascii="Times New Roman" w:hAnsi="Times New Roman" w:cs="Times New Roman"/>
          <w:i/>
          <w:iCs/>
          <w:sz w:val="24"/>
          <w:szCs w:val="24"/>
        </w:rPr>
        <w:t>Рисунок 220 - Вкладка Управление виджетами</w:t>
      </w:r>
    </w:p>
    <w:p w14:paraId="5A96F578" w14:textId="602205FB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1. В выпадающем списке «Уровень» выберите требующийся уровень,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например Муниципальный.</w:t>
      </w:r>
    </w:p>
    <w:p w14:paraId="6858E65B" w14:textId="4D851F13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2. В выпадающем списке «Регион» выберите регион, например Ярославская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область.</w:t>
      </w:r>
    </w:p>
    <w:p w14:paraId="0DA85605" w14:textId="0CAB34F0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3. В выпадающем списке «Муниципалитет» выберите муниципалитет,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например г. Ярославль.</w:t>
      </w:r>
    </w:p>
    <w:p w14:paraId="59F21230" w14:textId="606FE7F5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4. В выпадающем списке «Тип виджета» выберите тип виджета, например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 xml:space="preserve">Опросы, на странице появится предварительный просмотр виджета, </w:t>
      </w:r>
      <w:r w:rsidRPr="00E6290C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представлено на Рисун</w:t>
      </w:r>
      <w:r w:rsidRPr="00E6290C">
        <w:rPr>
          <w:rFonts w:ascii="Times New Roman" w:hAnsi="Times New Roman" w:cs="Times New Roman"/>
          <w:sz w:val="28"/>
          <w:szCs w:val="28"/>
        </w:rPr>
        <w:t>ке</w:t>
      </w:r>
      <w:r w:rsidRPr="00E6290C">
        <w:rPr>
          <w:rFonts w:ascii="Times New Roman" w:hAnsi="Times New Roman" w:cs="Times New Roman"/>
          <w:sz w:val="28"/>
          <w:szCs w:val="28"/>
        </w:rPr>
        <w:t xml:space="preserve"> 221. Выпадающий список «Тип виджета»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позволяет выбрать более одного типа виджета в одном, тем самым в рамках</w:t>
      </w:r>
      <w:r w:rsidRPr="00E6290C"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одного виджета могут быть доступны следующие активности</w:t>
      </w:r>
    </w:p>
    <w:p w14:paraId="08D6DAE0" w14:textId="2BCC1798" w:rsidR="008F5126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Общественного голосования:</w:t>
      </w:r>
    </w:p>
    <w:p w14:paraId="03D758B2" w14:textId="77777777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– опросы;</w:t>
      </w:r>
    </w:p>
    <w:p w14:paraId="77725B95" w14:textId="77777777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– проекты на голосовании;</w:t>
      </w:r>
    </w:p>
    <w:p w14:paraId="793068CC" w14:textId="77777777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– Обсуждения (комментирование);</w:t>
      </w:r>
    </w:p>
    <w:p w14:paraId="51315C1C" w14:textId="77777777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– Обсуждения в формате опроса и оценки;</w:t>
      </w:r>
    </w:p>
    <w:p w14:paraId="4FB1F563" w14:textId="4D8E52EF" w:rsid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– новости</w:t>
      </w:r>
    </w:p>
    <w:p w14:paraId="68106E11" w14:textId="7B69EA05" w:rsid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A9EB04" wp14:editId="07FE9522">
            <wp:extent cx="2638425" cy="5105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3BA01" w14:textId="26F66471" w:rsidR="00E6290C" w:rsidRDefault="00E6290C" w:rsidP="00E6290C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290C">
        <w:rPr>
          <w:rFonts w:ascii="Times New Roman" w:hAnsi="Times New Roman" w:cs="Times New Roman"/>
          <w:i/>
          <w:iCs/>
          <w:sz w:val="28"/>
          <w:szCs w:val="28"/>
        </w:rPr>
        <w:t>Рисунок 221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i/>
          <w:iCs/>
          <w:sz w:val="28"/>
          <w:szCs w:val="28"/>
        </w:rPr>
        <w:t>- Форма Предварительного просмотра виджета</w:t>
      </w:r>
    </w:p>
    <w:p w14:paraId="21CE1F00" w14:textId="27112104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5. В поле «Общее количество страниц в виджете (5)» введите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например 5.</w:t>
      </w:r>
    </w:p>
    <w:p w14:paraId="2D9C6EBD" w14:textId="5E8C428A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 xml:space="preserve">6. В поле «Частота обновления в </w:t>
      </w:r>
      <w:proofErr w:type="spellStart"/>
      <w:r w:rsidRPr="00E6290C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E6290C">
        <w:rPr>
          <w:rFonts w:ascii="Times New Roman" w:hAnsi="Times New Roman" w:cs="Times New Roman"/>
          <w:sz w:val="28"/>
          <w:szCs w:val="28"/>
        </w:rPr>
        <w:t>» (5000) введите значение, например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5000.</w:t>
      </w:r>
    </w:p>
    <w:p w14:paraId="730D2C89" w14:textId="773E3F62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lastRenderedPageBreak/>
        <w:t>7. В поле «Количество элементов на странице (5)» введите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например 2.</w:t>
      </w:r>
    </w:p>
    <w:p w14:paraId="5B7266E6" w14:textId="77777777" w:rsidR="00E6290C" w:rsidRP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 xml:space="preserve">8. В поле «Ширина в </w:t>
      </w:r>
      <w:proofErr w:type="spellStart"/>
      <w:r w:rsidRPr="00E6290C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E6290C">
        <w:rPr>
          <w:rFonts w:ascii="Times New Roman" w:hAnsi="Times New Roman" w:cs="Times New Roman"/>
          <w:sz w:val="28"/>
          <w:szCs w:val="28"/>
        </w:rPr>
        <w:t xml:space="preserve"> (320)» введите значение, например 320.</w:t>
      </w:r>
    </w:p>
    <w:p w14:paraId="55781612" w14:textId="42A5A71E" w:rsidR="00E6290C" w:rsidRDefault="00E6290C" w:rsidP="00E6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C">
        <w:rPr>
          <w:rFonts w:ascii="Times New Roman" w:hAnsi="Times New Roman" w:cs="Times New Roman"/>
          <w:sz w:val="28"/>
          <w:szCs w:val="28"/>
        </w:rPr>
        <w:t>9. Нажмите на страницу «Получить код», появится окно с кодом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виджета,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90C">
        <w:rPr>
          <w:rFonts w:ascii="Times New Roman" w:hAnsi="Times New Roman" w:cs="Times New Roman"/>
          <w:sz w:val="28"/>
          <w:szCs w:val="28"/>
        </w:rPr>
        <w:t>как представлено на Рисунок 222.</w:t>
      </w:r>
    </w:p>
    <w:p w14:paraId="68090E4D" w14:textId="2EC69ED4" w:rsidR="00E6290C" w:rsidRDefault="00E6290C" w:rsidP="00E629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97C6A4" wp14:editId="0DB9DFAD">
            <wp:extent cx="5934075" cy="2876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8173" w14:textId="13C1AEC1" w:rsidR="00E6290C" w:rsidRPr="00E6290C" w:rsidRDefault="00E6290C" w:rsidP="00E629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9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222 – Модальное окно с кодом виджета</w:t>
      </w:r>
    </w:p>
    <w:p w14:paraId="7F44F6EC" w14:textId="77777777" w:rsidR="00E6290C" w:rsidRDefault="00E6290C" w:rsidP="00E62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2EE9B" w14:textId="0C49EDA4" w:rsidR="00E6290C" w:rsidRPr="00E6290C" w:rsidRDefault="00E6290C" w:rsidP="00E6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установить виджет на сайт необходимо скопировать приведенный в модальном окне код без изменений и вставить его в тэг в нужную часть кода страницы сайта.</w:t>
      </w:r>
    </w:p>
    <w:sectPr w:rsidR="00E6290C" w:rsidRPr="00E6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26"/>
    <w:rsid w:val="008F5126"/>
    <w:rsid w:val="00E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8202"/>
  <w15:chartTrackingRefBased/>
  <w15:docId w15:val="{3A20365C-1DBF-4987-891D-7286C20A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1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2020-09-30T07:32:00Z</dcterms:created>
  <dcterms:modified xsi:type="dcterms:W3CDTF">2020-10-02T06:57:00Z</dcterms:modified>
</cp:coreProperties>
</file>